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er"/>
        <w:bidi w:val="0"/>
        <w:ind w:left="0" w:right="0" w:firstLine="0"/>
        <w:jc w:val="left"/>
        <w:rPr>
          <w:rFonts w:ascii="Arial" w:cs="Arial" w:hAnsi="Arial" w:eastAsia="Arial"/>
          <w:b w:val="1"/>
          <w:bCs w:val="1"/>
          <w:sz w:val="18"/>
          <w:szCs w:val="18"/>
          <w:rtl w:val="0"/>
        </w:rPr>
      </w:pPr>
      <w:r>
        <w:rPr>
          <w:rFonts w:ascii="Arial" w:cs="Arial" w:hAnsi="Arial" w:eastAsia="Arial"/>
          <w:b w:val="1"/>
          <w:bCs w:val="1"/>
          <w:sz w:val="18"/>
          <w:szCs w:val="18"/>
        </w:rPr>
        <w:drawing xmlns:a="http://schemas.openxmlformats.org/drawingml/2006/main">
          <wp:anchor distT="152400" distB="152400" distL="152400" distR="152400" simplePos="0" relativeHeight="251659264" behindDoc="0" locked="0" layoutInCell="1" allowOverlap="1">
            <wp:simplePos x="0" y="0"/>
            <wp:positionH relativeFrom="margin">
              <wp:posOffset>-6349</wp:posOffset>
            </wp:positionH>
            <wp:positionV relativeFrom="line">
              <wp:posOffset>-152400</wp:posOffset>
            </wp:positionV>
            <wp:extent cx="1655163" cy="47032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jpg"/>
                    <pic:cNvPicPr>
                      <a:picLocks noChangeAspect="1"/>
                    </pic:cNvPicPr>
                  </pic:nvPicPr>
                  <pic:blipFill>
                    <a:blip r:embed="rId4">
                      <a:extLst/>
                    </a:blip>
                    <a:stretch>
                      <a:fillRect/>
                    </a:stretch>
                  </pic:blipFill>
                  <pic:spPr>
                    <a:xfrm>
                      <a:off x="0" y="0"/>
                      <a:ext cx="1655163" cy="470320"/>
                    </a:xfrm>
                    <a:prstGeom prst="rect">
                      <a:avLst/>
                    </a:prstGeom>
                    <a:ln w="12700" cap="flat">
                      <a:noFill/>
                      <a:miter lim="400000"/>
                    </a:ln>
                    <a:effectLst/>
                  </pic:spPr>
                </pic:pic>
              </a:graphicData>
            </a:graphic>
          </wp:anchor>
        </w:drawing>
      </w:r>
    </w:p>
    <w:p>
      <w:pPr>
        <w:pStyle w:val="Header"/>
        <w:bidi w:val="0"/>
        <w:ind w:left="0" w:right="0" w:firstLine="0"/>
        <w:jc w:val="left"/>
        <w:rPr>
          <w:rFonts w:ascii="Arial" w:cs="Arial" w:hAnsi="Arial" w:eastAsia="Arial"/>
          <w:b w:val="1"/>
          <w:bCs w:val="1"/>
          <w:sz w:val="18"/>
          <w:szCs w:val="18"/>
          <w:rtl w:val="0"/>
        </w:rPr>
      </w:pPr>
    </w:p>
    <w:p>
      <w:pPr>
        <w:pStyle w:val="Header"/>
        <w:bidi w:val="0"/>
        <w:ind w:left="0" w:right="0" w:firstLine="0"/>
        <w:jc w:val="left"/>
        <w:rPr>
          <w:rFonts w:ascii="Arial" w:cs="Arial" w:hAnsi="Arial" w:eastAsia="Arial"/>
          <w:b w:val="1"/>
          <w:bCs w:val="1"/>
          <w:sz w:val="18"/>
          <w:szCs w:val="18"/>
          <w:rtl w:val="0"/>
        </w:rPr>
      </w:pPr>
    </w:p>
    <w:p>
      <w:pPr>
        <w:pStyle w:val="Header"/>
        <w:bidi w:val="0"/>
        <w:ind w:left="0" w:right="0" w:firstLine="0"/>
        <w:jc w:val="left"/>
        <w:rPr>
          <w:rFonts w:ascii="Arial" w:cs="Arial" w:hAnsi="Arial" w:eastAsia="Arial"/>
          <w:b w:val="1"/>
          <w:bCs w:val="1"/>
          <w:sz w:val="18"/>
          <w:szCs w:val="18"/>
          <w:rtl w:val="0"/>
        </w:rPr>
      </w:pPr>
    </w:p>
    <w:p>
      <w:pPr>
        <w:pStyle w:val="Header"/>
        <w:bidi w:val="0"/>
        <w:ind w:left="0" w:right="0" w:firstLine="0"/>
        <w:jc w:val="left"/>
        <w:rPr>
          <w:rFonts w:ascii="Arial" w:cs="Arial" w:hAnsi="Arial" w:eastAsia="Arial"/>
          <w:b w:val="1"/>
          <w:bCs w:val="1"/>
          <w:sz w:val="18"/>
          <w:szCs w:val="18"/>
          <w:rtl w:val="0"/>
        </w:rPr>
      </w:pPr>
    </w:p>
    <w:p>
      <w:pPr>
        <w:pStyle w:val="Header"/>
        <w:bidi w:val="0"/>
        <w:ind w:left="0" w:right="0" w:firstLine="0"/>
        <w:jc w:val="left"/>
        <w:rPr>
          <w:rFonts w:ascii="Arial" w:cs="Arial" w:hAnsi="Arial" w:eastAsia="Arial"/>
          <w:b w:val="1"/>
          <w:bCs w:val="1"/>
          <w:sz w:val="18"/>
          <w:szCs w:val="18"/>
          <w:rtl w:val="0"/>
        </w:rPr>
      </w:pPr>
      <w:r>
        <w:rPr>
          <w:rFonts w:ascii="Times New Roman" w:hAnsi="Times New Roman"/>
          <w:b w:val="0"/>
          <w:bCs w:val="0"/>
          <w:sz w:val="24"/>
          <w:szCs w:val="24"/>
          <w:rtl w:val="0"/>
          <w:lang w:val="en-US"/>
        </w:rPr>
        <w:t>Warehouse</w:t>
      </w:r>
      <w:r>
        <w:rPr>
          <w:rFonts w:ascii="Arial" w:hAnsi="Arial"/>
          <w:b w:val="1"/>
          <w:bCs w:val="1"/>
          <w:sz w:val="18"/>
          <w:szCs w:val="18"/>
          <w:rtl w:val="0"/>
          <w:lang w:val="en-US"/>
        </w:rPr>
        <w:t xml:space="preserve"> Department</w:t>
      </w:r>
    </w:p>
    <w:p>
      <w:pPr>
        <w:pStyle w:val="Header"/>
        <w:bidi w:val="0"/>
        <w:ind w:left="0" w:right="0" w:firstLine="0"/>
        <w:jc w:val="left"/>
        <w:rPr>
          <w:rFonts w:ascii="Arial" w:cs="Arial" w:hAnsi="Arial" w:eastAsia="Arial"/>
          <w:b w:val="1"/>
          <w:bCs w:val="1"/>
          <w:sz w:val="18"/>
          <w:szCs w:val="18"/>
          <w:rtl w:val="0"/>
          <w:lang w:val="en-US"/>
        </w:rPr>
      </w:pPr>
      <w:r>
        <w:rPr>
          <w:rFonts w:ascii="Arial" w:hAnsi="Arial"/>
          <w:b w:val="1"/>
          <w:bCs w:val="1"/>
          <w:sz w:val="18"/>
          <w:szCs w:val="18"/>
          <w:rtl w:val="0"/>
          <w:lang w:val="en-US"/>
        </w:rPr>
        <w:t>Distribution</w:t>
      </w:r>
      <w:r>
        <w:rPr>
          <w:rFonts w:ascii="Times New Roman" w:cs="Times New Roman" w:hAnsi="Times New Roman" w:eastAsia="Times New Roman"/>
          <w:b w:val="0"/>
          <w:bCs w:val="0"/>
          <w:sz w:val="24"/>
          <w:szCs w:val="24"/>
        </w:rPr>
        <w:tab/>
      </w:r>
      <w:r>
        <w:rPr>
          <w:rFonts w:ascii="Arial" w:hAnsi="Arial"/>
          <w:b w:val="1"/>
          <w:bCs w:val="1"/>
          <w:sz w:val="18"/>
          <w:szCs w:val="18"/>
          <w:rtl w:val="0"/>
          <w:lang w:val="en-US"/>
        </w:rPr>
        <w:t>SOP #</w:t>
      </w:r>
      <w:r>
        <w:rPr>
          <w:rFonts w:ascii="Arial" w:hAnsi="Arial"/>
          <w:b w:val="1"/>
          <w:bCs w:val="1"/>
          <w:sz w:val="18"/>
          <w:szCs w:val="18"/>
          <w:rtl w:val="0"/>
          <w:lang w:val="en-US"/>
        </w:rPr>
        <w:t xml:space="preserve"> 0007</w:t>
      </w:r>
      <w:r>
        <w:rPr>
          <w:rFonts w:ascii="Arial" w:cs="Arial" w:hAnsi="Arial" w:eastAsia="Arial"/>
          <w:b w:val="1"/>
          <w:bCs w:val="1"/>
          <w:sz w:val="18"/>
          <w:szCs w:val="18"/>
          <w:lang w:val="en-US"/>
        </w:rPr>
        <w:tab/>
      </w:r>
    </w:p>
    <w:p>
      <w:pPr>
        <w:pStyle w:val="Header"/>
        <w:rPr>
          <w:rFonts w:ascii="Arial" w:cs="Arial" w:hAnsi="Arial" w:eastAsia="Arial"/>
          <w:sz w:val="18"/>
          <w:szCs w:val="18"/>
          <w:lang w:val="en-US"/>
        </w:rPr>
      </w:pPr>
      <w:r>
        <w:rPr>
          <w:rFonts w:ascii="Times New Roman" w:cs="Times New Roman" w:hAnsi="Times New Roman" w:eastAsia="Times New Roman"/>
          <w:sz w:val="24"/>
          <w:szCs w:val="24"/>
          <w:lang w:val="en-US"/>
        </w:rPr>
        <w:tab/>
        <w:tab/>
      </w:r>
      <w:r>
        <w:rPr>
          <w:rFonts w:ascii="Arial" w:hAnsi="Arial"/>
          <w:sz w:val="18"/>
          <w:szCs w:val="18"/>
          <w:rtl w:val="0"/>
          <w:lang w:val="en-US"/>
        </w:rPr>
        <w:t>Revision #</w:t>
      </w:r>
      <w:r>
        <w:rPr>
          <w:rFonts w:ascii="Arial" w:hAnsi="Arial"/>
          <w:sz w:val="18"/>
          <w:szCs w:val="18"/>
          <w:rtl w:val="0"/>
          <w:lang w:val="en-US"/>
        </w:rPr>
        <w:t>1.1</w:t>
      </w:r>
      <w:r>
        <w:rPr>
          <w:rFonts w:ascii="Arial" w:cs="Arial" w:hAnsi="Arial" w:eastAsia="Arial"/>
          <w:sz w:val="18"/>
          <w:szCs w:val="18"/>
          <w:lang w:val="en-US"/>
        </w:rPr>
        <w:tab/>
      </w:r>
    </w:p>
    <w:p>
      <w:pPr>
        <w:pStyle w:val="Header"/>
        <w:rPr>
          <w:rFonts w:ascii="Arial" w:cs="Arial" w:hAnsi="Arial" w:eastAsia="Arial"/>
          <w:sz w:val="18"/>
          <w:szCs w:val="18"/>
          <w:lang w:val="en-US"/>
        </w:rPr>
      </w:pPr>
      <w:r>
        <w:rPr>
          <w:rFonts w:ascii="Times New Roman" w:cs="Times New Roman" w:hAnsi="Times New Roman" w:eastAsia="Times New Roman"/>
          <w:sz w:val="24"/>
          <w:szCs w:val="24"/>
          <w:lang w:val="en-US"/>
        </w:rPr>
        <w:tab/>
        <w:tab/>
      </w:r>
      <w:r>
        <w:rPr>
          <w:rFonts w:ascii="Arial" w:hAnsi="Arial"/>
          <w:sz w:val="18"/>
          <w:szCs w:val="18"/>
          <w:rtl w:val="0"/>
          <w:lang w:val="en-US"/>
        </w:rPr>
        <w:t>Implementation Date</w:t>
      </w:r>
      <w:r>
        <w:rPr>
          <w:rFonts w:ascii="Arial" w:hAnsi="Arial"/>
          <w:sz w:val="18"/>
          <w:szCs w:val="18"/>
          <w:rtl w:val="0"/>
          <w:lang w:val="en-US"/>
        </w:rPr>
        <w:t>: March 12 2015</w:t>
      </w:r>
      <w:r>
        <w:rPr>
          <w:rFonts w:ascii="Arial" w:cs="Arial" w:hAnsi="Arial" w:eastAsia="Arial"/>
          <w:sz w:val="18"/>
          <w:szCs w:val="18"/>
          <w:lang w:val="en-US"/>
        </w:rPr>
        <w:tab/>
      </w:r>
    </w:p>
    <w:p>
      <w:pPr>
        <w:pStyle w:val="Header"/>
        <w:rPr>
          <w:rFonts w:ascii="Arial" w:cs="Arial" w:hAnsi="Arial" w:eastAsia="Arial"/>
          <w:sz w:val="18"/>
          <w:szCs w:val="18"/>
          <w:lang w:val="en-US"/>
        </w:rPr>
      </w:pPr>
      <w:r>
        <w:rPr>
          <w:rFonts w:ascii="Times New Roman" w:hAnsi="Times New Roman"/>
          <w:sz w:val="24"/>
          <w:szCs w:val="24"/>
          <w:rtl w:val="0"/>
          <w:lang w:val="en-US"/>
        </w:rPr>
        <w:t>Page  #</w:t>
        <w:tab/>
      </w:r>
      <w:r>
        <w:rPr>
          <w:rFonts w:ascii="Times New Roman" w:cs="Times New Roman" w:hAnsi="Times New Roman" w:eastAsia="Times New Roman"/>
          <w:sz w:val="24"/>
          <w:szCs w:val="24"/>
          <w:lang w:val="en-US"/>
        </w:rPr>
        <w:fldChar w:fldCharType="begin" w:fldLock="0"/>
      </w:r>
      <w:r>
        <w:rPr>
          <w:rFonts w:ascii="Times New Roman" w:cs="Times New Roman" w:hAnsi="Times New Roman" w:eastAsia="Times New Roman"/>
          <w:sz w:val="24"/>
          <w:szCs w:val="24"/>
          <w:lang w:val="en-US"/>
        </w:rPr>
        <w:instrText xml:space="preserve"> PAGE </w:instrText>
      </w:r>
      <w:r>
        <w:rPr>
          <w:rFonts w:ascii="Times New Roman" w:cs="Times New Roman" w:hAnsi="Times New Roman" w:eastAsia="Times New Roman"/>
          <w:sz w:val="24"/>
          <w:szCs w:val="24"/>
          <w:lang w:val="en-US"/>
        </w:rPr>
        <w:fldChar w:fldCharType="separate" w:fldLock="0"/>
      </w:r>
      <w:r>
        <w:rPr>
          <w:rFonts w:ascii="Times New Roman" w:cs="Times New Roman" w:hAnsi="Times New Roman" w:eastAsia="Times New Roman"/>
          <w:sz w:val="24"/>
          <w:szCs w:val="24"/>
          <w:lang w:val="en-US"/>
        </w:rPr>
        <w:t>1</w:t>
      </w:r>
      <w:r>
        <w:rPr>
          <w:rFonts w:ascii="Times New Roman" w:cs="Times New Roman" w:hAnsi="Times New Roman" w:eastAsia="Times New Roman"/>
          <w:sz w:val="24"/>
          <w:szCs w:val="24"/>
          <w:lang w:val="en-US"/>
        </w:rPr>
        <w:fldChar w:fldCharType="end" w:fldLock="0"/>
      </w:r>
      <w:r>
        <w:rPr>
          <w:rFonts w:ascii="Times New Roman" w:hAnsi="Times New Roman"/>
          <w:sz w:val="24"/>
          <w:szCs w:val="24"/>
          <w:rtl w:val="0"/>
          <w:lang w:val="en-US"/>
        </w:rPr>
        <w:t xml:space="preserve"> of </w:t>
      </w:r>
      <w:r>
        <w:rPr>
          <w:rFonts w:ascii="Times New Roman" w:hAnsi="Times New Roman"/>
          <w:sz w:val="24"/>
          <w:szCs w:val="24"/>
          <w:rtl w:val="0"/>
          <w:lang w:val="en-US"/>
        </w:rPr>
        <w:t>1</w:t>
      </w:r>
      <w:r>
        <w:rPr>
          <w:rFonts w:ascii="Times New Roman" w:cs="Times New Roman" w:hAnsi="Times New Roman" w:eastAsia="Times New Roman"/>
          <w:sz w:val="24"/>
          <w:szCs w:val="24"/>
          <w:lang w:val="en-US"/>
        </w:rPr>
        <w:tab/>
      </w:r>
      <w:r>
        <w:rPr>
          <w:rFonts w:ascii="Arial" w:hAnsi="Arial"/>
          <w:sz w:val="18"/>
          <w:szCs w:val="18"/>
          <w:rtl w:val="0"/>
          <w:lang w:val="en-US"/>
        </w:rPr>
        <w:t>Last Reviewed/Update Date</w:t>
      </w:r>
      <w:r>
        <w:rPr>
          <w:rFonts w:ascii="Arial" w:hAnsi="Arial"/>
          <w:sz w:val="18"/>
          <w:szCs w:val="18"/>
          <w:rtl w:val="0"/>
          <w:lang w:val="en-US"/>
        </w:rPr>
        <w:t xml:space="preserve"> Nov 9 2015</w:t>
      </w:r>
      <w:r>
        <w:rPr>
          <w:rFonts w:ascii="Arial" w:cs="Arial" w:hAnsi="Arial" w:eastAsia="Arial"/>
          <w:sz w:val="18"/>
          <w:szCs w:val="18"/>
          <w:lang w:val="en-US"/>
        </w:rPr>
        <w:tab/>
      </w:r>
    </w:p>
    <w:p>
      <w:pPr>
        <w:pStyle w:val="Header"/>
        <w:rPr>
          <w:rFonts w:ascii="Arial" w:cs="Arial" w:hAnsi="Arial" w:eastAsia="Arial"/>
          <w:sz w:val="18"/>
          <w:szCs w:val="18"/>
        </w:rPr>
      </w:pPr>
      <w:r>
        <w:rPr>
          <w:rFonts w:ascii="Times New Roman" w:hAnsi="Times New Roman"/>
          <w:sz w:val="24"/>
          <w:szCs w:val="24"/>
          <w:rtl w:val="0"/>
          <w:lang w:val="en-US"/>
        </w:rPr>
        <w:t>SOP Owner</w:t>
      </w:r>
      <w:r>
        <w:rPr>
          <w:rFonts w:ascii="Times New Roman" w:hAnsi="Times New Roman"/>
          <w:sz w:val="24"/>
          <w:szCs w:val="24"/>
          <w:rtl w:val="0"/>
          <w:lang w:val="en-US"/>
        </w:rPr>
        <w:t>: Christian Souza</w:t>
      </w:r>
    </w:p>
    <w:p>
      <w:pPr>
        <w:pStyle w:val="Heading 1"/>
      </w:pPr>
    </w:p>
    <w:p>
      <w:pPr>
        <w:pStyle w:val="Normal.0"/>
      </w:pPr>
    </w:p>
    <w:p>
      <w:pPr>
        <w:pStyle w:val="Heading 1"/>
        <w:rPr>
          <w:rFonts w:ascii="Verdana" w:cs="Verdana" w:hAnsi="Verdana" w:eastAsia="Verdana"/>
          <w:sz w:val="20"/>
          <w:szCs w:val="20"/>
        </w:rPr>
      </w:pPr>
      <w:r>
        <w:rPr>
          <w:rFonts w:ascii="Verdana" w:hAnsi="Verdana"/>
          <w:sz w:val="20"/>
          <w:szCs w:val="20"/>
          <w:rtl w:val="0"/>
          <w:lang w:val="en-US"/>
        </w:rPr>
        <w:t>Standard Operating Procedure</w:t>
      </w:r>
      <w:r>
        <w:rPr>
          <w:rFonts w:ascii="Verdana" w:hAnsi="Verdana"/>
          <w:sz w:val="20"/>
          <w:szCs w:val="20"/>
          <w:rtl w:val="0"/>
          <w:lang w:val="en-US"/>
        </w:rPr>
        <w:t xml:space="preserve"> for Product Tracing</w:t>
      </w:r>
    </w:p>
    <w:p>
      <w:pPr>
        <w:pStyle w:val="Normal.0"/>
        <w:rPr>
          <w:rFonts w:ascii="Verdana" w:cs="Verdana" w:hAnsi="Verdana" w:eastAsia="Verdana"/>
          <w:sz w:val="20"/>
          <w:szCs w:val="20"/>
        </w:rPr>
      </w:pPr>
    </w:p>
    <w:p>
      <w:pPr>
        <w:pStyle w:val="Heading 2"/>
        <w:rPr>
          <w:rFonts w:ascii="Verdana" w:cs="Verdana" w:hAnsi="Verdana" w:eastAsia="Verdana"/>
          <w:sz w:val="20"/>
          <w:szCs w:val="20"/>
        </w:rPr>
      </w:pPr>
      <w:r>
        <w:rPr>
          <w:rFonts w:ascii="Verdana" w:hAnsi="Verdana"/>
          <w:sz w:val="20"/>
          <w:szCs w:val="20"/>
          <w:rtl w:val="0"/>
          <w:lang w:val="en-US"/>
        </w:rPr>
        <w:t>1.</w:t>
        <w:tab/>
        <w:t>Purpose</w:t>
      </w:r>
    </w:p>
    <w:p>
      <w:pPr>
        <w:pStyle w:val="Normal.0"/>
        <w:spacing w:before="120" w:after="120"/>
        <w:ind w:left="360" w:firstLine="0"/>
        <w:jc w:val="both"/>
        <w:rPr>
          <w:rFonts w:ascii="Verdana" w:cs="Verdana" w:hAnsi="Verdana" w:eastAsia="Verdana"/>
          <w:sz w:val="20"/>
          <w:szCs w:val="20"/>
          <w:rtl w:val="0"/>
          <w:lang w:val="en-US"/>
        </w:rPr>
      </w:pPr>
      <w:r>
        <w:rPr>
          <w:rFonts w:ascii="Verdana" w:hAnsi="Verdana"/>
          <w:sz w:val="20"/>
          <w:szCs w:val="20"/>
          <w:rtl w:val="0"/>
          <w:lang w:val="en-US"/>
        </w:rPr>
        <w:t>On November 27, 2013 President Barack Obama signed the Drug Quality and</w:t>
      </w:r>
      <w:r>
        <w:rPr>
          <w:rFonts w:ascii="Verdana" w:hAnsi="Verdana"/>
          <w:sz w:val="20"/>
          <w:szCs w:val="20"/>
          <w:rtl w:val="0"/>
          <w:lang w:val="en-US"/>
        </w:rPr>
        <w:t xml:space="preserve"> </w:t>
      </w:r>
      <w:r>
        <w:rPr>
          <w:rFonts w:ascii="Verdana" w:hAnsi="Verdana"/>
          <w:sz w:val="20"/>
          <w:szCs w:val="20"/>
          <w:rtl w:val="0"/>
          <w:lang w:val="en-US"/>
        </w:rPr>
        <w:t>Security Act (DQSA)1 into law, bringing a successful conclusion to efforts by</w:t>
      </w:r>
      <w:r>
        <w:rPr>
          <w:rFonts w:ascii="Verdana" w:hAnsi="Verdana"/>
          <w:sz w:val="20"/>
          <w:szCs w:val="20"/>
          <w:rtl w:val="0"/>
          <w:lang w:val="en-US"/>
        </w:rPr>
        <w:t xml:space="preserve"> </w:t>
      </w:r>
      <w:r>
        <w:rPr>
          <w:rFonts w:ascii="Verdana" w:hAnsi="Verdana"/>
          <w:sz w:val="20"/>
          <w:szCs w:val="20"/>
          <w:rtl w:val="0"/>
          <w:lang w:val="en-US"/>
        </w:rPr>
        <w:t>the industry and</w:t>
      </w:r>
      <w:r>
        <w:rPr>
          <w:rFonts w:ascii="Verdana" w:hAnsi="Verdana"/>
          <w:sz w:val="20"/>
          <w:szCs w:val="20"/>
          <w:rtl w:val="0"/>
          <w:lang w:val="en-US"/>
        </w:rPr>
        <w:t xml:space="preserve"> </w:t>
      </w:r>
      <w:r>
        <w:rPr>
          <w:rFonts w:ascii="Verdana" w:hAnsi="Verdana"/>
          <w:sz w:val="20"/>
          <w:szCs w:val="20"/>
          <w:rtl w:val="0"/>
          <w:lang w:val="en-US"/>
        </w:rPr>
        <w:t>consumer groups to create a national pharmaceutical</w:t>
      </w:r>
      <w:r>
        <w:rPr>
          <w:rFonts w:ascii="Verdana" w:hAnsi="Verdana"/>
          <w:sz w:val="20"/>
          <w:szCs w:val="20"/>
          <w:rtl w:val="0"/>
          <w:lang w:val="en-US"/>
        </w:rPr>
        <w:t xml:space="preserve"> </w:t>
      </w:r>
      <w:r>
        <w:rPr>
          <w:rFonts w:ascii="Verdana" w:hAnsi="Verdana"/>
          <w:sz w:val="20"/>
          <w:szCs w:val="20"/>
          <w:rtl w:val="0"/>
          <w:lang w:val="en-US"/>
        </w:rPr>
        <w:t>serialization and track and trace regulation, one that eliminates the</w:t>
      </w:r>
      <w:r>
        <w:rPr>
          <w:rFonts w:ascii="Verdana" w:hAnsi="Verdana"/>
          <w:sz w:val="20"/>
          <w:szCs w:val="20"/>
          <w:rtl w:val="0"/>
          <w:lang w:val="en-US"/>
        </w:rPr>
        <w:t xml:space="preserve"> </w:t>
      </w:r>
      <w:r>
        <w:rPr>
          <w:rFonts w:ascii="Verdana" w:hAnsi="Verdana"/>
          <w:sz w:val="20"/>
          <w:szCs w:val="20"/>
          <w:rtl w:val="0"/>
          <w:lang w:val="en-US"/>
        </w:rPr>
        <w:t>patchwork of state laws in addition to providing new regulations for</w:t>
      </w:r>
      <w:r>
        <w:rPr>
          <w:rFonts w:ascii="Verdana" w:hAnsi="Verdana"/>
          <w:sz w:val="20"/>
          <w:szCs w:val="20"/>
          <w:rtl w:val="0"/>
          <w:lang w:val="en-US"/>
        </w:rPr>
        <w:t xml:space="preserve"> </w:t>
      </w:r>
      <w:r>
        <w:rPr>
          <w:rFonts w:ascii="Verdana" w:hAnsi="Verdana"/>
          <w:sz w:val="20"/>
          <w:szCs w:val="20"/>
          <w:rtl w:val="0"/>
          <w:lang w:val="en-US"/>
        </w:rPr>
        <w:t xml:space="preserve">compounding pharmacies.  </w:t>
      </w:r>
    </w:p>
    <w:p>
      <w:pPr>
        <w:pStyle w:val="Normal.0"/>
        <w:spacing w:before="120" w:after="120"/>
        <w:ind w:left="360" w:firstLine="0"/>
        <w:jc w:val="both"/>
        <w:rPr>
          <w:rFonts w:ascii="Verdana" w:cs="Verdana" w:hAnsi="Verdana" w:eastAsia="Verdana"/>
          <w:sz w:val="20"/>
          <w:szCs w:val="20"/>
          <w:rtl w:val="0"/>
          <w:lang w:val="en-US"/>
        </w:rPr>
      </w:pPr>
      <w:r>
        <w:rPr>
          <w:rFonts w:ascii="Verdana" w:hAnsi="Verdana"/>
          <w:sz w:val="20"/>
          <w:szCs w:val="20"/>
          <w:rtl w:val="0"/>
          <w:lang w:val="en-US"/>
        </w:rPr>
        <w:t>&lt;COMPANY NAME&gt; utilizes the TrackTraceRx solution to meet the demands of the DQSA in particular title II of the DQSA the DSCSA. In order to be DSCSA compliant one must meet the following criteria:</w:t>
      </w:r>
    </w:p>
    <w:p>
      <w:pPr>
        <w:pStyle w:val="Normal.0"/>
        <w:spacing w:before="120" w:after="120"/>
        <w:ind w:left="360" w:firstLine="0"/>
        <w:jc w:val="both"/>
        <w:rPr>
          <w:rFonts w:ascii="Verdana" w:cs="Verdana" w:hAnsi="Verdana" w:eastAsia="Verdana"/>
          <w:sz w:val="20"/>
          <w:szCs w:val="20"/>
          <w:rtl w:val="0"/>
          <w:lang w:val="en-US"/>
        </w:rPr>
      </w:pPr>
    </w:p>
    <w:p>
      <w:pPr>
        <w:pStyle w:val="Normal.0"/>
        <w:numPr>
          <w:ilvl w:val="0"/>
          <w:numId w:val="2"/>
        </w:numPr>
        <w:spacing w:before="120" w:after="120"/>
        <w:jc w:val="both"/>
        <w:rPr>
          <w:rFonts w:ascii="Verdana" w:hAnsi="Verdana"/>
          <w:sz w:val="20"/>
          <w:szCs w:val="20"/>
          <w:lang w:val="en-US"/>
        </w:rPr>
      </w:pPr>
      <w:r>
        <w:rPr>
          <w:rFonts w:ascii="Verdana" w:hAnsi="Verdana"/>
          <w:sz w:val="20"/>
          <w:szCs w:val="20"/>
          <w:rtl w:val="0"/>
          <w:lang w:val="en-US"/>
        </w:rPr>
        <w:t>Track and Receive transactional data at a lot-level such as a Transaction History (TH), Transaction Information (TI) and Transaction Statement (TS).</w:t>
      </w:r>
      <w:r>
        <w:rPr>
          <w:rFonts w:ascii="Verdana" w:hAnsi="Verdana"/>
          <w:sz w:val="20"/>
          <w:szCs w:val="20"/>
          <w:rtl w:val="0"/>
          <w:lang w:val="en-US"/>
        </w:rPr>
        <w:t xml:space="preserve"> </w:t>
      </w:r>
      <w:r>
        <w:rPr>
          <w:rFonts w:ascii="Verdana" w:hAnsi="Verdana"/>
          <w:sz w:val="20"/>
          <w:szCs w:val="20"/>
          <w:rtl w:val="0"/>
          <w:lang w:val="en-US"/>
        </w:rPr>
        <w:t xml:space="preserve">These transactional data are referred to in the industry as a </w:t>
      </w:r>
      <w:r>
        <w:rPr>
          <w:rFonts w:ascii="Verdana" w:hAnsi="Verdana" w:hint="default"/>
          <w:sz w:val="20"/>
          <w:szCs w:val="20"/>
          <w:rtl w:val="0"/>
          <w:lang w:val="en-US"/>
        </w:rPr>
        <w:t>“</w:t>
      </w:r>
      <w:r>
        <w:rPr>
          <w:rFonts w:ascii="Verdana" w:hAnsi="Verdana"/>
          <w:sz w:val="20"/>
          <w:szCs w:val="20"/>
          <w:rtl w:val="0"/>
          <w:lang w:val="en-US"/>
        </w:rPr>
        <w:t>T3s</w:t>
      </w:r>
      <w:r>
        <w:rPr>
          <w:rFonts w:ascii="Verdana" w:hAnsi="Verdana" w:hint="default"/>
          <w:sz w:val="20"/>
          <w:szCs w:val="20"/>
          <w:rtl w:val="0"/>
          <w:lang w:val="en-US"/>
        </w:rPr>
        <w:t>”</w:t>
      </w:r>
      <w:r>
        <w:rPr>
          <w:rFonts w:ascii="Verdana" w:hAnsi="Verdana"/>
          <w:sz w:val="20"/>
          <w:szCs w:val="20"/>
          <w:rtl w:val="0"/>
          <w:lang w:val="en-US"/>
        </w:rPr>
        <w:t>.</w:t>
      </w:r>
    </w:p>
    <w:p>
      <w:pPr>
        <w:pStyle w:val="Normal.0"/>
        <w:numPr>
          <w:ilvl w:val="0"/>
          <w:numId w:val="2"/>
        </w:numPr>
        <w:spacing w:before="120" w:after="120"/>
        <w:jc w:val="both"/>
        <w:rPr>
          <w:rFonts w:ascii="Verdana" w:hAnsi="Verdana"/>
          <w:sz w:val="20"/>
          <w:szCs w:val="20"/>
          <w:lang w:val="en-US"/>
        </w:rPr>
      </w:pPr>
      <w:r>
        <w:rPr>
          <w:rFonts w:ascii="Verdana" w:hAnsi="Verdana"/>
          <w:sz w:val="20"/>
          <w:szCs w:val="20"/>
          <w:rtl w:val="0"/>
          <w:lang w:val="en-US"/>
        </w:rPr>
        <w:t>Verify transactional data (T3s) against all products shipment received. Quarantine  any shipment that are determined missing their respective T3 data or if a product deemed suspect.</w:t>
      </w:r>
    </w:p>
    <w:p>
      <w:pPr>
        <w:pStyle w:val="Normal.0"/>
        <w:numPr>
          <w:ilvl w:val="0"/>
          <w:numId w:val="2"/>
        </w:numPr>
        <w:spacing w:before="120" w:after="120"/>
        <w:jc w:val="both"/>
        <w:rPr>
          <w:rFonts w:ascii="Verdana" w:hAnsi="Verdana"/>
          <w:sz w:val="20"/>
          <w:szCs w:val="20"/>
          <w:lang w:val="en-US"/>
        </w:rPr>
      </w:pPr>
      <w:r>
        <w:rPr>
          <w:rFonts w:ascii="Verdana" w:hAnsi="Verdana"/>
          <w:sz w:val="20"/>
          <w:szCs w:val="20"/>
          <w:rtl w:val="0"/>
          <w:lang w:val="en-US"/>
        </w:rPr>
        <w:t>Store T3 data received for a period of at least 6 years from the date of shipment receipt. This includes any exceptions handled within your supply chain.</w:t>
      </w:r>
    </w:p>
    <w:p>
      <w:pPr>
        <w:pStyle w:val="Normal.0"/>
        <w:numPr>
          <w:ilvl w:val="0"/>
          <w:numId w:val="2"/>
        </w:numPr>
        <w:spacing w:before="120" w:after="120"/>
        <w:jc w:val="both"/>
        <w:rPr>
          <w:rFonts w:ascii="Verdana" w:hAnsi="Verdana"/>
          <w:sz w:val="20"/>
          <w:szCs w:val="20"/>
          <w:lang w:val="en-US"/>
        </w:rPr>
      </w:pPr>
      <w:r>
        <w:rPr>
          <w:rFonts w:ascii="Verdana" w:hAnsi="Verdana"/>
          <w:sz w:val="20"/>
          <w:szCs w:val="20"/>
          <w:rtl w:val="0"/>
          <w:lang w:val="en-US"/>
        </w:rPr>
        <w:t xml:space="preserve">Handle any request for verification from any federal organization. </w:t>
      </w:r>
    </w:p>
    <w:p>
      <w:pPr>
        <w:pStyle w:val="Normal.0"/>
        <w:rPr>
          <w:rFonts w:ascii="Verdana" w:cs="Verdana" w:hAnsi="Verdana" w:eastAsia="Verdana"/>
          <w:sz w:val="20"/>
          <w:szCs w:val="20"/>
        </w:rPr>
      </w:pPr>
    </w:p>
    <w:p>
      <w:pPr>
        <w:pStyle w:val="Normal.0"/>
        <w:rPr>
          <w:rFonts w:ascii="Verdana" w:cs="Verdana" w:hAnsi="Verdana" w:eastAsia="Verdana"/>
          <w:sz w:val="20"/>
          <w:szCs w:val="20"/>
        </w:rPr>
      </w:pPr>
    </w:p>
    <w:p>
      <w:pPr>
        <w:pStyle w:val="Normal.0"/>
        <w:rPr>
          <w:rFonts w:ascii="Verdana" w:cs="Verdana" w:hAnsi="Verdana" w:eastAsia="Verdana"/>
          <w:sz w:val="20"/>
          <w:szCs w:val="20"/>
        </w:rPr>
      </w:pPr>
    </w:p>
    <w:p>
      <w:pPr>
        <w:pStyle w:val="Normal.0"/>
        <w:rPr>
          <w:rFonts w:ascii="Verdana" w:cs="Verdana" w:hAnsi="Verdana" w:eastAsia="Verdana"/>
          <w:sz w:val="20"/>
          <w:szCs w:val="20"/>
        </w:rPr>
      </w:pPr>
    </w:p>
    <w:p>
      <w:pPr>
        <w:pStyle w:val="Heading 2"/>
        <w:rPr>
          <w:rFonts w:ascii="Verdana" w:cs="Verdana" w:hAnsi="Verdana" w:eastAsia="Verdana"/>
          <w:sz w:val="20"/>
          <w:szCs w:val="20"/>
        </w:rPr>
      </w:pPr>
      <w:r>
        <w:rPr>
          <w:rFonts w:ascii="Verdana" w:hAnsi="Verdana"/>
          <w:sz w:val="20"/>
          <w:szCs w:val="20"/>
          <w:rtl w:val="0"/>
          <w:lang w:val="en-US"/>
        </w:rPr>
        <w:t>2.</w:t>
        <w:tab/>
        <w:t>Scope</w:t>
      </w:r>
    </w:p>
    <w:p>
      <w:pPr>
        <w:pStyle w:val="Normal.0"/>
        <w:rPr>
          <w:rFonts w:ascii="Verdana" w:cs="Verdana" w:hAnsi="Verdana" w:eastAsia="Verdana"/>
          <w:sz w:val="20"/>
          <w:szCs w:val="20"/>
        </w:rPr>
      </w:pPr>
      <w:r>
        <w:rPr>
          <w:rFonts w:ascii="Verdana" w:hAnsi="Verdana"/>
          <w:sz w:val="20"/>
          <w:szCs w:val="20"/>
          <w:rtl w:val="0"/>
          <w:lang w:val="en-US"/>
        </w:rPr>
        <w:t>Identify the intended audience and /or activities where the SOP may be relevant</w:t>
      </w:r>
      <w:r>
        <w:rPr>
          <w:rFonts w:ascii="Verdana" w:hAnsi="Verdana"/>
          <w:sz w:val="20"/>
          <w:szCs w:val="20"/>
          <w:rtl w:val="0"/>
          <w:lang w:val="en-US"/>
        </w:rPr>
        <w:t>. Answer these questions, Which specific operations or tasks within an operation will be covered? Who is the SOP written for? Example:</w:t>
      </w:r>
    </w:p>
    <w:p>
      <w:pPr>
        <w:pStyle w:val="Normal.0"/>
        <w:rPr>
          <w:rFonts w:ascii="Verdana" w:cs="Verdana" w:hAnsi="Verdana" w:eastAsia="Verdana"/>
          <w:sz w:val="20"/>
          <w:szCs w:val="20"/>
        </w:rPr>
      </w:pPr>
    </w:p>
    <w:p>
      <w:pPr>
        <w:pStyle w:val="Normal.0"/>
        <w:rPr>
          <w:rFonts w:ascii="Verdana" w:cs="Verdana" w:hAnsi="Verdana" w:eastAsia="Verdana"/>
          <w:sz w:val="20"/>
          <w:szCs w:val="20"/>
        </w:rPr>
      </w:pPr>
      <w:r>
        <w:rPr>
          <w:rFonts w:ascii="Verdana" w:hAnsi="Verdana"/>
          <w:sz w:val="20"/>
          <w:szCs w:val="20"/>
          <w:rtl w:val="0"/>
          <w:lang w:val="en-US"/>
        </w:rPr>
        <w:t>The SOP for Product Tracing is for all employees that deal with the handling of ownership and transferring of ownership of Rx products to other trading partners.</w:t>
      </w:r>
    </w:p>
    <w:p>
      <w:pPr>
        <w:pStyle w:val="Normal.0"/>
        <w:rPr>
          <w:rFonts w:ascii="Verdana" w:cs="Verdana" w:hAnsi="Verdana" w:eastAsia="Verdana"/>
          <w:sz w:val="20"/>
          <w:szCs w:val="20"/>
        </w:rPr>
      </w:pPr>
    </w:p>
    <w:p>
      <w:pPr>
        <w:pStyle w:val="Normal.0"/>
        <w:rPr>
          <w:rFonts w:ascii="Verdana" w:cs="Verdana" w:hAnsi="Verdana" w:eastAsia="Verdana"/>
          <w:sz w:val="20"/>
          <w:szCs w:val="20"/>
        </w:rPr>
      </w:pPr>
    </w:p>
    <w:p>
      <w:pPr>
        <w:pStyle w:val="Normal.0"/>
        <w:rPr>
          <w:rFonts w:ascii="Verdana" w:cs="Verdana" w:hAnsi="Verdana" w:eastAsia="Verdana"/>
          <w:sz w:val="20"/>
          <w:szCs w:val="20"/>
        </w:rPr>
      </w:pPr>
    </w:p>
    <w:p>
      <w:pPr>
        <w:pStyle w:val="Normal.0"/>
        <w:rPr>
          <w:rFonts w:ascii="Verdana" w:cs="Verdana" w:hAnsi="Verdana" w:eastAsia="Verdana"/>
          <w:sz w:val="20"/>
          <w:szCs w:val="20"/>
        </w:rPr>
      </w:pPr>
    </w:p>
    <w:p>
      <w:pPr>
        <w:pStyle w:val="Heading 2"/>
        <w:rPr>
          <w:rFonts w:ascii="Verdana" w:cs="Verdana" w:hAnsi="Verdana" w:eastAsia="Verdana"/>
          <w:sz w:val="20"/>
          <w:szCs w:val="20"/>
        </w:rPr>
      </w:pPr>
      <w:r>
        <w:rPr>
          <w:rFonts w:ascii="Verdana" w:hAnsi="Verdana"/>
          <w:sz w:val="20"/>
          <w:szCs w:val="20"/>
          <w:rtl w:val="0"/>
          <w:lang w:val="en-US"/>
        </w:rPr>
        <w:t>3.</w:t>
        <w:tab/>
        <w:t>Prerequisites</w:t>
      </w:r>
    </w:p>
    <w:p>
      <w:pPr>
        <w:pStyle w:val="Normal.0"/>
        <w:rPr>
          <w:rFonts w:ascii="Verdana" w:cs="Verdana" w:hAnsi="Verdana" w:eastAsia="Verdana"/>
          <w:sz w:val="20"/>
          <w:szCs w:val="20"/>
        </w:rPr>
      </w:pPr>
      <w:r>
        <w:rPr>
          <w:rFonts w:ascii="Verdana" w:hAnsi="Verdana"/>
          <w:sz w:val="20"/>
          <w:szCs w:val="20"/>
          <w:rtl w:val="0"/>
          <w:lang w:val="en-US"/>
        </w:rPr>
        <w:t>Outline information required before proceeding with the listed procedure; for example, worksheets, documents,</w:t>
      </w:r>
      <w:r>
        <w:rPr>
          <w:rFonts w:ascii="Verdana" w:hAnsi="Verdana"/>
          <w:sz w:val="20"/>
          <w:szCs w:val="20"/>
          <w:rtl w:val="0"/>
          <w:lang w:val="en-US"/>
        </w:rPr>
        <w:t xml:space="preserve"> etc</w:t>
      </w:r>
      <w:r>
        <w:rPr>
          <w:rFonts w:ascii="Verdana" w:hAnsi="Verdana"/>
          <w:sz w:val="20"/>
          <w:szCs w:val="20"/>
          <w:rtl w:val="0"/>
          <w:lang w:val="en-US"/>
        </w:rPr>
        <w:t xml:space="preserve">.  </w:t>
      </w:r>
    </w:p>
    <w:p>
      <w:pPr>
        <w:pStyle w:val="Normal.0"/>
        <w:rPr>
          <w:rFonts w:ascii="Verdana" w:cs="Verdana" w:hAnsi="Verdana" w:eastAsia="Verdana"/>
          <w:sz w:val="20"/>
          <w:szCs w:val="20"/>
        </w:rPr>
      </w:pPr>
    </w:p>
    <w:p>
      <w:pPr>
        <w:pStyle w:val="Normal.0"/>
        <w:rPr>
          <w:rFonts w:ascii="Verdana" w:cs="Verdana" w:hAnsi="Verdana" w:eastAsia="Verdana"/>
          <w:sz w:val="20"/>
          <w:szCs w:val="20"/>
        </w:rPr>
      </w:pPr>
    </w:p>
    <w:p>
      <w:pPr>
        <w:pStyle w:val="Normal.0"/>
        <w:rPr>
          <w:rFonts w:ascii="Verdana" w:cs="Verdana" w:hAnsi="Verdana" w:eastAsia="Verdana"/>
          <w:sz w:val="20"/>
          <w:szCs w:val="20"/>
        </w:rPr>
      </w:pPr>
    </w:p>
    <w:p>
      <w:pPr>
        <w:pStyle w:val="Normal.0"/>
        <w:rPr>
          <w:rFonts w:ascii="Verdana" w:cs="Verdana" w:hAnsi="Verdana" w:eastAsia="Verdana"/>
          <w:sz w:val="20"/>
          <w:szCs w:val="20"/>
        </w:rPr>
      </w:pPr>
    </w:p>
    <w:p>
      <w:pPr>
        <w:pStyle w:val="Normal.0"/>
        <w:rPr>
          <w:rFonts w:ascii="Verdana" w:cs="Verdana" w:hAnsi="Verdana" w:eastAsia="Verdana"/>
          <w:sz w:val="20"/>
          <w:szCs w:val="20"/>
        </w:rPr>
      </w:pPr>
    </w:p>
    <w:p>
      <w:pPr>
        <w:pStyle w:val="Heading 2"/>
        <w:rPr>
          <w:rFonts w:ascii="Verdana" w:cs="Verdana" w:hAnsi="Verdana" w:eastAsia="Verdana"/>
          <w:sz w:val="20"/>
          <w:szCs w:val="20"/>
        </w:rPr>
      </w:pPr>
      <w:r>
        <w:rPr>
          <w:rFonts w:ascii="Verdana" w:hAnsi="Verdana"/>
          <w:sz w:val="20"/>
          <w:szCs w:val="20"/>
          <w:rtl w:val="0"/>
          <w:lang w:val="en-US"/>
        </w:rPr>
        <w:t>4.</w:t>
        <w:tab/>
        <w:t>Responsibilities</w:t>
      </w:r>
    </w:p>
    <w:p>
      <w:pPr>
        <w:pStyle w:val="Normal.0"/>
        <w:rPr>
          <w:rFonts w:ascii="Verdana" w:cs="Verdana" w:hAnsi="Verdana" w:eastAsia="Verdana"/>
          <w:sz w:val="20"/>
          <w:szCs w:val="20"/>
        </w:rPr>
      </w:pPr>
      <w:r>
        <w:rPr>
          <w:rFonts w:ascii="Verdana" w:hAnsi="Verdana"/>
          <w:sz w:val="20"/>
          <w:szCs w:val="20"/>
          <w:rtl w:val="0"/>
          <w:lang w:val="en-US"/>
        </w:rPr>
        <w:t xml:space="preserve">Identify the personnel that have a primary role in the SOP and describe how their responsibilities relate to this SOP.  If necessary, include contact information. </w:t>
      </w:r>
    </w:p>
    <w:p>
      <w:pPr>
        <w:pStyle w:val="Normal.0"/>
        <w:rPr>
          <w:rFonts w:ascii="Verdana" w:cs="Verdana" w:hAnsi="Verdana" w:eastAsia="Verdana"/>
          <w:sz w:val="20"/>
          <w:szCs w:val="20"/>
        </w:rPr>
      </w:pPr>
    </w:p>
    <w:p>
      <w:pPr>
        <w:pStyle w:val="Normal.0"/>
        <w:rPr>
          <w:rFonts w:ascii="Verdana" w:cs="Verdana" w:hAnsi="Verdana" w:eastAsia="Verdana"/>
          <w:sz w:val="20"/>
          <w:szCs w:val="20"/>
        </w:rPr>
      </w:pPr>
      <w:r>
        <w:rPr>
          <w:rFonts w:ascii="Verdana" w:hAnsi="Verdana"/>
          <w:sz w:val="20"/>
          <w:szCs w:val="20"/>
          <w:rtl w:val="0"/>
          <w:lang w:val="en-US"/>
        </w:rPr>
        <w:t xml:space="preserve">John Doe - Compliance Manager </w:t>
      </w:r>
    </w:p>
    <w:p>
      <w:pPr>
        <w:pStyle w:val="Normal.0"/>
        <w:rPr>
          <w:rFonts w:ascii="Verdana" w:cs="Verdana" w:hAnsi="Verdana" w:eastAsia="Verdana"/>
          <w:sz w:val="20"/>
          <w:szCs w:val="20"/>
        </w:rPr>
      </w:pPr>
      <w:r>
        <w:rPr>
          <w:rStyle w:val="Hyperlink.0"/>
        </w:rPr>
        <w:fldChar w:fldCharType="begin" w:fldLock="0"/>
      </w:r>
      <w:r>
        <w:rPr>
          <w:rStyle w:val="Hyperlink.0"/>
        </w:rPr>
        <w:instrText xml:space="preserve"> HYPERLINK "mailto:john@company.com"</w:instrText>
      </w:r>
      <w:r>
        <w:rPr>
          <w:rStyle w:val="Hyperlink.0"/>
        </w:rPr>
        <w:fldChar w:fldCharType="separate" w:fldLock="0"/>
      </w:r>
      <w:r>
        <w:rPr>
          <w:rStyle w:val="Hyperlink.0"/>
          <w:rFonts w:cs="Arial Unicode MS" w:eastAsia="Arial Unicode MS"/>
          <w:rtl w:val="0"/>
        </w:rPr>
        <w:t>john@company.com</w:t>
      </w:r>
      <w:r>
        <w:rPr/>
        <w:fldChar w:fldCharType="end" w:fldLock="0"/>
      </w:r>
    </w:p>
    <w:p>
      <w:pPr>
        <w:pStyle w:val="Normal.0"/>
        <w:rPr>
          <w:rFonts w:ascii="Verdana" w:cs="Verdana" w:hAnsi="Verdana" w:eastAsia="Verdana"/>
          <w:sz w:val="20"/>
          <w:szCs w:val="20"/>
        </w:rPr>
      </w:pPr>
      <w:r>
        <w:rPr>
          <w:rFonts w:ascii="Verdana" w:hAnsi="Verdana"/>
          <w:sz w:val="20"/>
          <w:szCs w:val="20"/>
          <w:rtl w:val="0"/>
          <w:lang w:val="en-US"/>
        </w:rPr>
        <w:t>555-555-5555</w:t>
      </w:r>
    </w:p>
    <w:p>
      <w:pPr>
        <w:pStyle w:val="Normal.0"/>
        <w:rPr>
          <w:rFonts w:ascii="Verdana" w:cs="Verdana" w:hAnsi="Verdana" w:eastAsia="Verdana"/>
          <w:sz w:val="20"/>
          <w:szCs w:val="20"/>
        </w:rPr>
      </w:pPr>
    </w:p>
    <w:p>
      <w:pPr>
        <w:pStyle w:val="Normal.0"/>
        <w:rPr>
          <w:rFonts w:ascii="Verdana" w:cs="Verdana" w:hAnsi="Verdana" w:eastAsia="Verdana"/>
          <w:sz w:val="20"/>
          <w:szCs w:val="20"/>
        </w:rPr>
      </w:pPr>
    </w:p>
    <w:p>
      <w:pPr>
        <w:pStyle w:val="Normal.0"/>
        <w:rPr>
          <w:rFonts w:ascii="Verdana" w:cs="Verdana" w:hAnsi="Verdana" w:eastAsia="Verdana"/>
          <w:sz w:val="20"/>
          <w:szCs w:val="20"/>
        </w:rPr>
      </w:pPr>
    </w:p>
    <w:p>
      <w:pPr>
        <w:pStyle w:val="Normal.0"/>
        <w:rPr>
          <w:rFonts w:ascii="Verdana" w:cs="Verdana" w:hAnsi="Verdana" w:eastAsia="Verdana"/>
          <w:sz w:val="20"/>
          <w:szCs w:val="20"/>
        </w:rPr>
      </w:pPr>
    </w:p>
    <w:p>
      <w:pPr>
        <w:pStyle w:val="Heading 2"/>
        <w:rPr>
          <w:rFonts w:ascii="Verdana" w:cs="Verdana" w:hAnsi="Verdana" w:eastAsia="Verdana"/>
          <w:sz w:val="20"/>
          <w:szCs w:val="20"/>
        </w:rPr>
      </w:pPr>
      <w:r>
        <w:rPr>
          <w:rFonts w:ascii="Verdana" w:hAnsi="Verdana"/>
          <w:sz w:val="20"/>
          <w:szCs w:val="20"/>
          <w:rtl w:val="0"/>
          <w:lang w:val="en-US"/>
        </w:rPr>
        <w:t>5.</w:t>
        <w:tab/>
        <w:t>Procedure</w:t>
      </w:r>
    </w:p>
    <w:p>
      <w:pPr>
        <w:pStyle w:val="Normal.0"/>
        <w:rPr>
          <w:rFonts w:ascii="Verdana" w:cs="Verdana" w:hAnsi="Verdana" w:eastAsia="Verdana"/>
          <w:sz w:val="20"/>
          <w:szCs w:val="20"/>
        </w:rPr>
      </w:pPr>
    </w:p>
    <w:p>
      <w:pPr>
        <w:pStyle w:val="Normal.0"/>
        <w:rPr>
          <w:rFonts w:ascii="Verdana" w:cs="Verdana" w:hAnsi="Verdana" w:eastAsia="Verdana"/>
          <w:b w:val="1"/>
          <w:bCs w:val="1"/>
          <w:sz w:val="20"/>
          <w:szCs w:val="20"/>
        </w:rPr>
      </w:pPr>
      <w:r>
        <w:rPr>
          <w:rFonts w:ascii="Verdana" w:hAnsi="Verdana"/>
          <w:b w:val="1"/>
          <w:bCs w:val="1"/>
          <w:sz w:val="20"/>
          <w:szCs w:val="20"/>
          <w:rtl w:val="0"/>
          <w:lang w:val="en-US"/>
        </w:rPr>
        <w:t>Inbound Procedure</w:t>
      </w:r>
    </w:p>
    <w:p>
      <w:pPr>
        <w:pStyle w:val="Normal.0"/>
        <w:rPr>
          <w:rFonts w:ascii="Verdana" w:cs="Verdana" w:hAnsi="Verdana" w:eastAsia="Verdana"/>
          <w:sz w:val="20"/>
          <w:szCs w:val="20"/>
        </w:rPr>
      </w:pPr>
    </w:p>
    <w:p>
      <w:pPr>
        <w:pStyle w:val="Normal.0"/>
        <w:numPr>
          <w:ilvl w:val="0"/>
          <w:numId w:val="4"/>
        </w:numPr>
        <w:rPr>
          <w:sz w:val="20"/>
          <w:szCs w:val="20"/>
        </w:rPr>
      </w:pPr>
      <w:r>
        <w:rPr>
          <w:rFonts w:ascii="Verdana" w:hAnsi="Verdana"/>
          <w:sz w:val="20"/>
          <w:szCs w:val="20"/>
          <w:rtl w:val="0"/>
          <w:lang w:val="en-US"/>
        </w:rPr>
        <w:t>Perform Receiving &amp; Receipt of shipment</w:t>
      </w:r>
    </w:p>
    <w:p>
      <w:pPr>
        <w:pStyle w:val="Normal.0"/>
        <w:numPr>
          <w:ilvl w:val="0"/>
          <w:numId w:val="4"/>
        </w:numPr>
        <w:rPr>
          <w:sz w:val="20"/>
          <w:szCs w:val="20"/>
        </w:rPr>
      </w:pPr>
      <w:r>
        <w:rPr>
          <w:rFonts w:ascii="Verdana" w:hAnsi="Verdana"/>
          <w:sz w:val="20"/>
          <w:szCs w:val="20"/>
          <w:rtl w:val="0"/>
          <w:lang w:val="en-US"/>
        </w:rPr>
        <w:t>Verify Product on Packing Slip</w:t>
      </w:r>
    </w:p>
    <w:p>
      <w:pPr>
        <w:pStyle w:val="Normal.0"/>
        <w:numPr>
          <w:ilvl w:val="0"/>
          <w:numId w:val="4"/>
        </w:numPr>
        <w:rPr>
          <w:sz w:val="20"/>
          <w:szCs w:val="20"/>
        </w:rPr>
      </w:pPr>
      <w:r>
        <w:rPr>
          <w:rFonts w:ascii="Verdana" w:hAnsi="Verdana"/>
          <w:sz w:val="20"/>
          <w:szCs w:val="20"/>
          <w:rtl w:val="0"/>
          <w:lang w:val="en-US"/>
        </w:rPr>
        <w:t>Login to TrackTraceRx portal</w:t>
      </w:r>
    </w:p>
    <w:p>
      <w:pPr>
        <w:pStyle w:val="Normal.0"/>
        <w:numPr>
          <w:ilvl w:val="0"/>
          <w:numId w:val="4"/>
        </w:numPr>
        <w:rPr>
          <w:sz w:val="20"/>
          <w:szCs w:val="20"/>
        </w:rPr>
      </w:pPr>
      <w:r>
        <w:rPr>
          <w:rFonts w:ascii="Verdana" w:hAnsi="Verdana"/>
          <w:sz w:val="20"/>
          <w:szCs w:val="20"/>
          <w:rtl w:val="0"/>
          <w:lang w:val="en-US"/>
        </w:rPr>
        <w:t>Query Transaction if ASN was received to match on TrackTraceRx portal.</w:t>
      </w:r>
    </w:p>
    <w:p>
      <w:pPr>
        <w:pStyle w:val="Normal.0"/>
        <w:numPr>
          <w:ilvl w:val="0"/>
          <w:numId w:val="4"/>
        </w:numPr>
        <w:rPr>
          <w:sz w:val="20"/>
          <w:szCs w:val="20"/>
        </w:rPr>
      </w:pPr>
      <w:r>
        <w:rPr>
          <w:rFonts w:ascii="Verdana" w:hAnsi="Verdana"/>
          <w:sz w:val="20"/>
          <w:szCs w:val="20"/>
          <w:rtl w:val="0"/>
          <w:lang w:val="en-US"/>
        </w:rPr>
        <w:t>etc..</w:t>
      </w:r>
    </w:p>
    <w:p>
      <w:pPr>
        <w:pStyle w:val="Normal.0"/>
        <w:rPr>
          <w:rFonts w:ascii="Verdana" w:cs="Verdana" w:hAnsi="Verdana" w:eastAsia="Verdana"/>
          <w:sz w:val="20"/>
          <w:szCs w:val="20"/>
        </w:rPr>
      </w:pPr>
    </w:p>
    <w:p>
      <w:pPr>
        <w:pStyle w:val="Normal.0"/>
        <w:rPr>
          <w:rFonts w:ascii="Verdana" w:cs="Verdana" w:hAnsi="Verdana" w:eastAsia="Verdana"/>
          <w:b w:val="1"/>
          <w:bCs w:val="1"/>
          <w:sz w:val="20"/>
          <w:szCs w:val="20"/>
        </w:rPr>
      </w:pPr>
    </w:p>
    <w:p>
      <w:pPr>
        <w:pStyle w:val="Normal.0"/>
        <w:rPr>
          <w:rFonts w:ascii="Verdana" w:cs="Verdana" w:hAnsi="Verdana" w:eastAsia="Verdana"/>
          <w:b w:val="1"/>
          <w:bCs w:val="1"/>
          <w:sz w:val="20"/>
          <w:szCs w:val="20"/>
        </w:rPr>
      </w:pPr>
      <w:r>
        <w:rPr>
          <w:rFonts w:ascii="Verdana" w:hAnsi="Verdana"/>
          <w:b w:val="1"/>
          <w:bCs w:val="1"/>
          <w:sz w:val="20"/>
          <w:szCs w:val="20"/>
          <w:rtl w:val="0"/>
          <w:lang w:val="en-US"/>
        </w:rPr>
        <w:t>Outbound Procedure</w:t>
      </w:r>
    </w:p>
    <w:p>
      <w:pPr>
        <w:pStyle w:val="Normal.0"/>
        <w:rPr>
          <w:rFonts w:ascii="Verdana" w:cs="Verdana" w:hAnsi="Verdana" w:eastAsia="Verdana"/>
          <w:b w:val="1"/>
          <w:bCs w:val="1"/>
          <w:sz w:val="20"/>
          <w:szCs w:val="20"/>
        </w:rPr>
      </w:pPr>
    </w:p>
    <w:p>
      <w:pPr>
        <w:pStyle w:val="Normal.0"/>
        <w:numPr>
          <w:ilvl w:val="0"/>
          <w:numId w:val="4"/>
        </w:numPr>
        <w:rPr>
          <w:sz w:val="20"/>
          <w:szCs w:val="20"/>
        </w:rPr>
      </w:pPr>
      <w:r>
        <w:rPr>
          <w:rFonts w:ascii="Verdana" w:hAnsi="Verdana"/>
          <w:sz w:val="20"/>
          <w:szCs w:val="20"/>
          <w:rtl w:val="0"/>
          <w:lang w:val="en-US"/>
        </w:rPr>
        <w:t>Step 1</w:t>
      </w:r>
    </w:p>
    <w:p>
      <w:pPr>
        <w:pStyle w:val="Normal.0"/>
        <w:numPr>
          <w:ilvl w:val="0"/>
          <w:numId w:val="4"/>
        </w:numPr>
        <w:rPr>
          <w:sz w:val="20"/>
          <w:szCs w:val="20"/>
        </w:rPr>
      </w:pPr>
      <w:r>
        <w:rPr>
          <w:rFonts w:ascii="Verdana" w:hAnsi="Verdana"/>
          <w:sz w:val="20"/>
          <w:szCs w:val="20"/>
          <w:rtl w:val="0"/>
          <w:lang w:val="en-US"/>
        </w:rPr>
        <w:t>Step 2</w:t>
      </w:r>
    </w:p>
    <w:p>
      <w:pPr>
        <w:pStyle w:val="Normal.0"/>
        <w:numPr>
          <w:ilvl w:val="0"/>
          <w:numId w:val="4"/>
        </w:numPr>
        <w:rPr>
          <w:sz w:val="20"/>
          <w:szCs w:val="20"/>
        </w:rPr>
      </w:pPr>
      <w:r>
        <w:rPr>
          <w:rFonts w:ascii="Verdana" w:hAnsi="Verdana"/>
          <w:sz w:val="20"/>
          <w:szCs w:val="20"/>
          <w:rtl w:val="0"/>
          <w:lang w:val="en-US"/>
        </w:rPr>
        <w:t>Step 3</w:t>
      </w:r>
    </w:p>
    <w:p>
      <w:pPr>
        <w:pStyle w:val="Normal.0"/>
        <w:rPr>
          <w:rFonts w:ascii="Verdana" w:cs="Verdana" w:hAnsi="Verdana" w:eastAsia="Verdana"/>
          <w:sz w:val="20"/>
          <w:szCs w:val="20"/>
        </w:rPr>
      </w:pPr>
    </w:p>
    <w:p>
      <w:pPr>
        <w:pStyle w:val="Normal.0"/>
        <w:rPr>
          <w:rFonts w:ascii="Verdana" w:cs="Verdana" w:hAnsi="Verdana" w:eastAsia="Verdana"/>
          <w:sz w:val="20"/>
          <w:szCs w:val="20"/>
        </w:rPr>
      </w:pPr>
    </w:p>
    <w:p>
      <w:pPr>
        <w:pStyle w:val="Normal.0"/>
        <w:rPr>
          <w:rFonts w:ascii="Verdana" w:cs="Verdana" w:hAnsi="Verdana" w:eastAsia="Verdana"/>
          <w:sz w:val="20"/>
          <w:szCs w:val="20"/>
        </w:rPr>
      </w:pPr>
    </w:p>
    <w:p>
      <w:pPr>
        <w:pStyle w:val="Normal.0"/>
        <w:rPr>
          <w:rFonts w:ascii="Verdana" w:cs="Verdana" w:hAnsi="Verdana" w:eastAsia="Verdana"/>
          <w:b w:val="1"/>
          <w:bCs w:val="1"/>
          <w:sz w:val="20"/>
          <w:szCs w:val="20"/>
        </w:rPr>
      </w:pPr>
      <w:r>
        <w:rPr>
          <w:rFonts w:ascii="Verdana" w:hAnsi="Verdana"/>
          <w:b w:val="1"/>
          <w:bCs w:val="1"/>
          <w:sz w:val="20"/>
          <w:szCs w:val="20"/>
          <w:rtl w:val="0"/>
          <w:lang w:val="en-US"/>
        </w:rPr>
        <w:t>Quarantine Procedure</w:t>
      </w:r>
    </w:p>
    <w:p>
      <w:pPr>
        <w:pStyle w:val="Normal.0"/>
        <w:rPr>
          <w:rFonts w:ascii="Verdana" w:cs="Verdana" w:hAnsi="Verdana" w:eastAsia="Verdana"/>
          <w:b w:val="1"/>
          <w:bCs w:val="1"/>
          <w:sz w:val="20"/>
          <w:szCs w:val="20"/>
        </w:rPr>
      </w:pPr>
    </w:p>
    <w:p>
      <w:pPr>
        <w:pStyle w:val="Normal.0"/>
        <w:numPr>
          <w:ilvl w:val="0"/>
          <w:numId w:val="4"/>
        </w:numPr>
        <w:rPr>
          <w:sz w:val="20"/>
          <w:szCs w:val="20"/>
        </w:rPr>
      </w:pPr>
      <w:r>
        <w:rPr>
          <w:rFonts w:ascii="Verdana" w:hAnsi="Verdana"/>
          <w:sz w:val="20"/>
          <w:szCs w:val="20"/>
          <w:rtl w:val="0"/>
          <w:lang w:val="en-US"/>
        </w:rPr>
        <w:t>Step 1</w:t>
      </w:r>
    </w:p>
    <w:p>
      <w:pPr>
        <w:pStyle w:val="Normal.0"/>
        <w:numPr>
          <w:ilvl w:val="0"/>
          <w:numId w:val="4"/>
        </w:numPr>
        <w:rPr>
          <w:sz w:val="20"/>
          <w:szCs w:val="20"/>
        </w:rPr>
      </w:pPr>
      <w:r>
        <w:rPr>
          <w:rFonts w:ascii="Verdana" w:hAnsi="Verdana"/>
          <w:sz w:val="20"/>
          <w:szCs w:val="20"/>
          <w:rtl w:val="0"/>
          <w:lang w:val="en-US"/>
        </w:rPr>
        <w:t>Step 2</w:t>
      </w:r>
    </w:p>
    <w:p>
      <w:pPr>
        <w:pStyle w:val="Normal.0"/>
        <w:numPr>
          <w:ilvl w:val="0"/>
          <w:numId w:val="4"/>
        </w:numPr>
        <w:rPr>
          <w:sz w:val="20"/>
          <w:szCs w:val="20"/>
        </w:rPr>
      </w:pPr>
      <w:r>
        <w:rPr>
          <w:rFonts w:ascii="Verdana" w:hAnsi="Verdana"/>
          <w:sz w:val="20"/>
          <w:szCs w:val="20"/>
          <w:rtl w:val="0"/>
          <w:lang w:val="en-US"/>
        </w:rPr>
        <w:t>Step 3</w:t>
      </w:r>
    </w:p>
    <w:p>
      <w:pPr>
        <w:pStyle w:val="Normal.0"/>
        <w:rPr>
          <w:rFonts w:ascii="Verdana" w:cs="Verdana" w:hAnsi="Verdana" w:eastAsia="Verdana"/>
          <w:sz w:val="20"/>
          <w:szCs w:val="20"/>
        </w:rPr>
      </w:pPr>
    </w:p>
    <w:p>
      <w:pPr>
        <w:pStyle w:val="Normal.0"/>
        <w:rPr>
          <w:rFonts w:ascii="Verdana" w:cs="Verdana" w:hAnsi="Verdana" w:eastAsia="Verdana"/>
          <w:sz w:val="20"/>
          <w:szCs w:val="20"/>
        </w:rPr>
      </w:pPr>
    </w:p>
    <w:p>
      <w:pPr>
        <w:pStyle w:val="Normal.0"/>
        <w:rPr>
          <w:rFonts w:ascii="Verdana" w:cs="Verdana" w:hAnsi="Verdana" w:eastAsia="Verdana"/>
          <w:b w:val="1"/>
          <w:bCs w:val="1"/>
          <w:sz w:val="20"/>
          <w:szCs w:val="20"/>
        </w:rPr>
      </w:pPr>
      <w:r>
        <w:rPr>
          <w:rFonts w:ascii="Verdana" w:hAnsi="Verdana"/>
          <w:b w:val="1"/>
          <w:bCs w:val="1"/>
          <w:sz w:val="20"/>
          <w:szCs w:val="20"/>
          <w:rtl w:val="0"/>
          <w:lang w:val="en-US"/>
        </w:rPr>
        <w:t>Request For Verification</w:t>
      </w:r>
    </w:p>
    <w:p>
      <w:pPr>
        <w:pStyle w:val="Normal.0"/>
        <w:rPr>
          <w:rFonts w:ascii="Verdana" w:cs="Verdana" w:hAnsi="Verdana" w:eastAsia="Verdana"/>
          <w:b w:val="1"/>
          <w:bCs w:val="1"/>
          <w:sz w:val="20"/>
          <w:szCs w:val="20"/>
        </w:rPr>
      </w:pPr>
    </w:p>
    <w:p>
      <w:pPr>
        <w:pStyle w:val="Normal.0"/>
        <w:numPr>
          <w:ilvl w:val="0"/>
          <w:numId w:val="4"/>
        </w:numPr>
        <w:rPr>
          <w:sz w:val="20"/>
          <w:szCs w:val="20"/>
        </w:rPr>
      </w:pPr>
      <w:r>
        <w:rPr>
          <w:rFonts w:ascii="Verdana" w:hAnsi="Verdana"/>
          <w:sz w:val="20"/>
          <w:szCs w:val="20"/>
          <w:rtl w:val="0"/>
          <w:lang w:val="en-US"/>
        </w:rPr>
        <w:t>Step 1</w:t>
      </w:r>
    </w:p>
    <w:p>
      <w:pPr>
        <w:pStyle w:val="Normal.0"/>
        <w:numPr>
          <w:ilvl w:val="0"/>
          <w:numId w:val="4"/>
        </w:numPr>
        <w:rPr>
          <w:sz w:val="20"/>
          <w:szCs w:val="20"/>
        </w:rPr>
      </w:pPr>
      <w:r>
        <w:rPr>
          <w:rFonts w:ascii="Verdana" w:hAnsi="Verdana"/>
          <w:sz w:val="20"/>
          <w:szCs w:val="20"/>
          <w:rtl w:val="0"/>
          <w:lang w:val="en-US"/>
        </w:rPr>
        <w:t>Step 2</w:t>
      </w:r>
    </w:p>
    <w:p>
      <w:pPr>
        <w:pStyle w:val="Normal.0"/>
        <w:numPr>
          <w:ilvl w:val="0"/>
          <w:numId w:val="4"/>
        </w:numPr>
        <w:rPr>
          <w:sz w:val="20"/>
          <w:szCs w:val="20"/>
        </w:rPr>
      </w:pPr>
      <w:r>
        <w:rPr>
          <w:rFonts w:ascii="Verdana" w:hAnsi="Verdana"/>
          <w:sz w:val="20"/>
          <w:szCs w:val="20"/>
          <w:rtl w:val="0"/>
          <w:lang w:val="en-US"/>
        </w:rPr>
        <w:t>Step 3</w:t>
      </w:r>
    </w:p>
    <w:p>
      <w:pPr>
        <w:pStyle w:val="Normal.0"/>
        <w:rPr>
          <w:rFonts w:ascii="Verdana" w:cs="Verdana" w:hAnsi="Verdana" w:eastAsia="Verdana"/>
          <w:sz w:val="20"/>
          <w:szCs w:val="20"/>
        </w:rPr>
      </w:pPr>
    </w:p>
    <w:p>
      <w:pPr>
        <w:pStyle w:val="Normal.0"/>
        <w:rPr>
          <w:rFonts w:ascii="Verdana" w:cs="Verdana" w:hAnsi="Verdana" w:eastAsia="Verdana"/>
          <w:sz w:val="20"/>
          <w:szCs w:val="20"/>
        </w:rPr>
      </w:pPr>
    </w:p>
    <w:p>
      <w:pPr>
        <w:pStyle w:val="Normal.0"/>
      </w:pPr>
    </w:p>
    <w:p>
      <w:pPr>
        <w:pStyle w:val="Heading 2"/>
        <w:rPr>
          <w:rFonts w:ascii="Verdana" w:cs="Verdana" w:hAnsi="Verdana" w:eastAsia="Verdana"/>
          <w:sz w:val="20"/>
          <w:szCs w:val="20"/>
        </w:rPr>
      </w:pPr>
      <w:r>
        <w:rPr>
          <w:rFonts w:ascii="Verdana" w:hAnsi="Verdana"/>
          <w:sz w:val="20"/>
          <w:szCs w:val="20"/>
          <w:rtl w:val="0"/>
          <w:lang w:val="en-US"/>
        </w:rPr>
        <w:t>6.</w:t>
        <w:tab/>
        <w:t>References</w:t>
      </w:r>
    </w:p>
    <w:p>
      <w:pPr>
        <w:pStyle w:val="Normal.0"/>
        <w:rPr>
          <w:rFonts w:ascii="Verdana" w:cs="Verdana" w:hAnsi="Verdana" w:eastAsia="Verdana"/>
          <w:sz w:val="20"/>
          <w:szCs w:val="20"/>
        </w:rPr>
      </w:pPr>
      <w:r>
        <w:rPr>
          <w:rFonts w:ascii="Verdana" w:hAnsi="Verdana"/>
          <w:sz w:val="20"/>
          <w:szCs w:val="20"/>
          <w:rtl w:val="0"/>
          <w:lang w:val="en-US"/>
        </w:rPr>
        <w:t xml:space="preserve">List resources that may be useful when performing the procedure; for example, Admin policies, Municipal Code, government standards and other SOPs. </w:t>
      </w:r>
    </w:p>
    <w:p>
      <w:pPr>
        <w:pStyle w:val="Normal.0"/>
        <w:rPr>
          <w:rFonts w:ascii="Verdana" w:cs="Verdana" w:hAnsi="Verdana" w:eastAsia="Verdana"/>
          <w:b w:val="1"/>
          <w:bCs w:val="1"/>
          <w:sz w:val="20"/>
          <w:szCs w:val="20"/>
        </w:rPr>
      </w:pPr>
      <w:r>
        <w:rPr>
          <w:rFonts w:ascii="Verdana" w:hAnsi="Verdana"/>
          <w:b w:val="1"/>
          <w:bCs w:val="1"/>
          <w:sz w:val="20"/>
          <w:szCs w:val="20"/>
          <w:rtl w:val="0"/>
          <w:lang w:val="en-US"/>
        </w:rPr>
        <w:t>Title II of the Drug Quality and Security Act</w:t>
      </w:r>
    </w:p>
    <w:p>
      <w:pPr>
        <w:pStyle w:val="Normal.0"/>
        <w:rPr>
          <w:rFonts w:ascii="Verdana" w:cs="Verdana" w:hAnsi="Verdana" w:eastAsia="Verdana"/>
          <w:sz w:val="20"/>
          <w:szCs w:val="20"/>
        </w:rPr>
      </w:pPr>
    </w:p>
    <w:p>
      <w:pPr>
        <w:pStyle w:val="Normal.0"/>
        <w:rPr>
          <w:rFonts w:ascii="Verdana" w:cs="Verdana" w:hAnsi="Verdana" w:eastAsia="Verdana"/>
          <w:sz w:val="20"/>
          <w:szCs w:val="20"/>
        </w:rPr>
      </w:pPr>
      <w:r>
        <w:rPr>
          <w:rStyle w:val="Hyperlink.0"/>
        </w:rPr>
        <w:fldChar w:fldCharType="begin" w:fldLock="0"/>
      </w:r>
      <w:r>
        <w:rPr>
          <w:rStyle w:val="Hyperlink.0"/>
        </w:rPr>
        <w:instrText xml:space="preserve"> HYPERLINK "http://www.fda.gov/Drugs/DrugSafety/DrugIntegrityandSupplyChainSecurity/DrugSupplyChainSecurityAct/ucm376829.htm"</w:instrText>
      </w:r>
      <w:r>
        <w:rPr>
          <w:rStyle w:val="Hyperlink.0"/>
        </w:rPr>
        <w:fldChar w:fldCharType="separate" w:fldLock="0"/>
      </w:r>
      <w:r>
        <w:rPr>
          <w:rStyle w:val="Hyperlink.0"/>
          <w:rFonts w:cs="Arial Unicode MS" w:eastAsia="Arial Unicode MS"/>
          <w:rtl w:val="0"/>
        </w:rPr>
        <w:t>http://www.fda.gov/Drugs/DrugSafety/DrugIntegrityandSupplyChainSecurity/DrugSupplyChainSecurityAct/ucm376829.htm</w:t>
      </w:r>
      <w:r>
        <w:rPr/>
        <w:fldChar w:fldCharType="end" w:fldLock="0"/>
      </w:r>
    </w:p>
    <w:p>
      <w:pPr>
        <w:pStyle w:val="Normal.0"/>
        <w:rPr>
          <w:rFonts w:ascii="Verdana" w:cs="Verdana" w:hAnsi="Verdana" w:eastAsia="Verdana"/>
          <w:sz w:val="20"/>
          <w:szCs w:val="20"/>
        </w:rPr>
      </w:pPr>
    </w:p>
    <w:p>
      <w:pPr>
        <w:pStyle w:val="Normal.0"/>
        <w:rPr>
          <w:rFonts w:ascii="Verdana" w:cs="Verdana" w:hAnsi="Verdana" w:eastAsia="Verdana"/>
          <w:sz w:val="20"/>
          <w:szCs w:val="20"/>
        </w:rPr>
      </w:pPr>
    </w:p>
    <w:p>
      <w:pPr>
        <w:pStyle w:val="Normal.0"/>
        <w:rPr>
          <w:rFonts w:ascii="Verdana" w:cs="Verdana" w:hAnsi="Verdana" w:eastAsia="Verdana"/>
          <w:sz w:val="20"/>
          <w:szCs w:val="20"/>
        </w:rPr>
      </w:pPr>
    </w:p>
    <w:p>
      <w:pPr>
        <w:pStyle w:val="Normal.0"/>
        <w:rPr>
          <w:rFonts w:ascii="Verdana" w:cs="Verdana" w:hAnsi="Verdana" w:eastAsia="Verdana"/>
          <w:sz w:val="20"/>
          <w:szCs w:val="20"/>
        </w:rPr>
      </w:pPr>
    </w:p>
    <w:p>
      <w:pPr>
        <w:pStyle w:val="Heading 2"/>
        <w:rPr>
          <w:rFonts w:ascii="Verdana" w:cs="Verdana" w:hAnsi="Verdana" w:eastAsia="Verdana"/>
          <w:sz w:val="20"/>
          <w:szCs w:val="20"/>
        </w:rPr>
      </w:pPr>
      <w:r>
        <w:rPr>
          <w:rFonts w:ascii="Verdana" w:hAnsi="Verdana"/>
          <w:sz w:val="20"/>
          <w:szCs w:val="20"/>
          <w:rtl w:val="0"/>
          <w:lang w:val="en-US"/>
        </w:rPr>
        <w:t xml:space="preserve">7. </w:t>
        <w:tab/>
        <w:t xml:space="preserve">Definitions </w:t>
      </w:r>
    </w:p>
    <w:p>
      <w:pPr>
        <w:pStyle w:val="Normal.0"/>
        <w:rPr>
          <w:rFonts w:ascii="Verdana" w:cs="Verdana" w:hAnsi="Verdana" w:eastAsia="Verdana"/>
          <w:sz w:val="20"/>
          <w:szCs w:val="20"/>
        </w:rPr>
      </w:pPr>
      <w:r>
        <w:rPr>
          <w:rFonts w:ascii="Verdana" w:hAnsi="Verdana"/>
          <w:sz w:val="20"/>
          <w:szCs w:val="20"/>
          <w:rtl w:val="0"/>
          <w:lang w:val="en-US"/>
        </w:rPr>
        <w:t>Identify and define frequently used terms or acronyms. Provide additional and/or relevant information needed to understand this SOP.</w:t>
      </w:r>
    </w:p>
    <w:p>
      <w:pPr>
        <w:pStyle w:val="Normal.0"/>
        <w:rPr>
          <w:rFonts w:ascii="Verdana" w:cs="Verdana" w:hAnsi="Verdana" w:eastAsia="Verdana"/>
          <w:sz w:val="20"/>
          <w:szCs w:val="20"/>
        </w:rPr>
      </w:pPr>
    </w:p>
    <w:p>
      <w:pPr>
        <w:pStyle w:val="Normal.0"/>
      </w:pPr>
      <w:r>
        <w:rPr>
          <w:rFonts w:ascii="Verdana" w:hAnsi="Verdana"/>
          <w:sz w:val="20"/>
          <w:szCs w:val="20"/>
          <w:rtl w:val="0"/>
          <w:lang w:val="en-US"/>
        </w:rPr>
        <w:t xml:space="preserve">Trading Partners - </w:t>
      </w:r>
      <w:r>
        <w:rPr>
          <w:rFonts w:ascii="Verdana" w:hAnsi="Verdana"/>
          <w:sz w:val="20"/>
          <w:szCs w:val="20"/>
          <w:rtl w:val="0"/>
          <w:lang w:val="en-US"/>
        </w:rPr>
        <w:t>Is the manufacturer, repackager, wholesale distributor and dispenser from who accepts direct ownership of a prescription drug. 3PLs do not take ownership of the product.</w:t>
      </w:r>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620"/>
        <w:tab w:val="clear" w:pos="8640"/>
      </w:tabs>
    </w:pPr>
    <w:r>
      <w:rPr>
        <w:rtl w:val="0"/>
        <w:lang w:val="en-US"/>
      </w:rPr>
      <w:t>Documents: SOP</w:t>
    </w:r>
    <w:r>
      <w:rPr>
        <w:rtl w:val="0"/>
        <w:lang w:val="en-US"/>
      </w:rPr>
      <w:t xml:space="preserve"> Revision 1.1</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bidi w:val="0"/>
      <w:ind w:left="0" w:right="0" w:firstLine="0"/>
      <w:jc w:val="left"/>
      <w:rPr>
        <w:rtl w:val="0"/>
      </w:rPr>
    </w:pPr>
    <w:r>
      <w:rPr>
        <w:rFonts w:ascii="Arial" w:hAnsi="Arial"/>
        <w:b w:val="1"/>
        <w:bCs w:val="1"/>
        <w:sz w:val="18"/>
        <w:szCs w:val="18"/>
        <w:lang w:val="en-US"/>
      </w:rPr>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3"/>
  </w:abstractNum>
  <w:abstractNum w:abstractNumId="1">
    <w:multiLevelType w:val="hybridMultilevel"/>
    <w:styleLink w:val="Imported Style 3"/>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1080"/>
        </w:tabs>
        <w:ind w:left="174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080"/>
        </w:tabs>
        <w:ind w:left="246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080"/>
        </w:tabs>
        <w:ind w:left="3180"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080"/>
        </w:tabs>
        <w:ind w:left="390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080"/>
        </w:tabs>
        <w:ind w:left="462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080"/>
        </w:tabs>
        <w:ind w:left="5340"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080"/>
        </w:tabs>
        <w:ind w:left="606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080"/>
        </w:tabs>
        <w:ind w:left="678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Heading 1">
    <w:name w:val="Heading 1"/>
    <w:next w:val="Normal.0"/>
    <w:pPr>
      <w:keepNext w:val="1"/>
      <w:keepLines w:val="0"/>
      <w:pageBreakBefore w:val="0"/>
      <w:widowControl w:val="1"/>
      <w:shd w:val="clear" w:color="auto" w:fill="auto"/>
      <w:suppressAutoHyphens w:val="0"/>
      <w:bidi w:val="0"/>
      <w:spacing w:before="240" w:after="60" w:line="240" w:lineRule="auto"/>
      <w:ind w:left="0" w:right="0" w:firstLine="0"/>
      <w:jc w:val="left"/>
      <w:outlineLvl w:val="0"/>
    </w:pPr>
    <w:rPr>
      <w:rFonts w:ascii="Arial" w:cs="Arial" w:hAnsi="Arial" w:eastAsia="Arial"/>
      <w:b w:val="1"/>
      <w:bCs w:val="1"/>
      <w:i w:val="0"/>
      <w:iCs w:val="0"/>
      <w:caps w:val="0"/>
      <w:smallCaps w:val="0"/>
      <w:strike w:val="0"/>
      <w:dstrike w:val="0"/>
      <w:outline w:val="0"/>
      <w:color w:val="000000"/>
      <w:spacing w:val="0"/>
      <w:kern w:val="32"/>
      <w:position w:val="0"/>
      <w:sz w:val="36"/>
      <w:szCs w:val="36"/>
      <w:u w:val="none" w:color="000000"/>
      <w:shd w:val="nil" w:color="auto" w:fill="auto"/>
      <w:vertAlign w:val="baseline"/>
      <w:lang w:val="en-US"/>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Heading 2">
    <w:name w:val="Heading 2"/>
    <w:next w:val="Normal.0"/>
    <w:pPr>
      <w:keepNext w:val="1"/>
      <w:keepLines w:val="0"/>
      <w:pageBreakBefore w:val="0"/>
      <w:widowControl w:val="1"/>
      <w:pBdr>
        <w:top w:val="nil"/>
        <w:left w:val="nil"/>
        <w:bottom w:val="single" w:color="000080" w:sz="4" w:space="0" w:shadow="0" w:frame="0"/>
        <w:right w:val="nil"/>
      </w:pBdr>
      <w:shd w:val="clear" w:color="auto" w:fill="auto"/>
      <w:suppressAutoHyphens w:val="0"/>
      <w:bidi w:val="0"/>
      <w:spacing w:before="120" w:after="120" w:line="240" w:lineRule="auto"/>
      <w:ind w:left="0" w:right="0" w:firstLine="0"/>
      <w:jc w:val="left"/>
      <w:outlineLvl w:val="0"/>
    </w:pPr>
    <w:rPr>
      <w:rFonts w:ascii="Arial" w:cs="Arial Unicode MS" w:hAnsi="Arial" w:eastAsia="Arial Unicode MS"/>
      <w:b w:val="1"/>
      <w:bCs w:val="1"/>
      <w:i w:val="1"/>
      <w:iCs w:val="1"/>
      <w:caps w:val="0"/>
      <w:smallCaps w:val="0"/>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numbering" w:styleId="Imported Style 3">
    <w:name w:val="Imported Style 3"/>
    <w:pPr>
      <w:numPr>
        <w:numId w:val="1"/>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 w:type="numbering" w:styleId="Bullets">
    <w:name w:val="Bullets"/>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